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0F172A" w:sz="4"/>
          <w:left w:val="single" w:color="0F172A" w:sz="4"/>
          <w:bottom w:val="single" w:color="0F172A" w:sz="4"/>
          <w:right w:val="single" w:color="0F172A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0F172A" w:color="auto" w:val="clear"/>
            <w:tcMar>
              <w:top w:type="dxa" w:w="560"/>
              <w:left w:type="dxa" w:w="400"/>
              <w:bottom w:type="dxa" w:w="560"/>
              <w:right w:type="dxa" w:w="400"/>
            </w:tcMar>
          </w:tcPr>
          <w:p>
            <w:pPr>
              <w:spacing w:after="160"/>
            </w:pPr>
            <w:r>
              <w:rPr>
                <w:rFonts w:ascii="Consolas" w:cs="Consolas" w:eastAsia="Consolas" w:hAnsi="Consolas"/>
                <w:color w:val="F97316"/>
                <w:spacing w:val="60"/>
                <w:sz w:val="17"/>
                <w:szCs w:val="17"/>
              </w:rPr>
              <w:t xml:space="preserve">MODELO · CONTRATAÇÃO DE FORNECEDOR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RFI</w:t>
            </w:r>
          </w:p>
          <w:p>
            <w:r>
              <w:rPr>
                <w:rFonts w:ascii="Calibri" w:cs="Calibri" w:eastAsia="Calibri" w:hAnsi="Calibri"/>
                <w:color w:val="94A3B8"/>
                <w:sz w:val="24"/>
                <w:szCs w:val="24"/>
              </w:rPr>
              <w:t xml:space="preserve">Request for Information. O primeiro contato com o mercado, antes de qualquer proposta.</w:t>
            </w:r>
          </w:p>
        </w:tc>
      </w:tr>
    </w:tbl>
    <w:p>
      <w:pPr>
        <w:spacing w:after="40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012"/>
        <w:gridCol w:w="6626"/>
      </w:tblGrid>
      <w:tr>
        <w:trPr>
          <w:tblHeader/>
        </w:trPr>
        <w:tc>
          <w:tcPr>
            <w:tcW w:type="dxa" w:w="30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662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Preencher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Projeto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do projeto]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Elaborado por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Aprovado por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Data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spacing w:after="300"/>
      </w:pPr>
      <w:r>
        <w:t xml:space="preserve"/>
      </w:r>
    </w:p>
    <w:p>
      <w:r>
        <w:rPr>
          <w:rFonts w:ascii="Calibri" w:cs="Calibri" w:eastAsia="Calibri" w:hAnsi="Calibri"/>
          <w:i/>
          <w:iCs/>
          <w:color w:val="94A3B8"/>
          <w:sz w:val="18"/>
          <w:szCs w:val="18"/>
        </w:rPr>
        <w:t xml:space="preserve">Modelo gratuito. Adapte à sua realidade: retire o que não se aplica e acrescente o que faltar.</w:t>
      </w:r>
    </w:p>
    <w:p>
      <w:pPr>
        <w:spacing w:before="60"/>
      </w:pPr>
      <w:r>
        <w:rPr>
          <w:rFonts w:ascii="Consolas" w:cs="Consolas" w:eastAsia="Consolas" w:hAnsi="Consolas"/>
          <w:color w:val="F97316"/>
          <w:sz w:val="18"/>
          <w:szCs w:val="18"/>
        </w:rPr>
        <w:t xml:space="preserve">raphaelfontes.com.br/biblioteca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ANTES DE COMEÇAR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Como usar este modelo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A RFI é o documento com que você vai ao mercado para conhecer fornecedores, antes de especificar qualquer coisa. Ela é elaborada por quem contrata, e o que volta é uma apresentação formal de cada empresa.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Ela vem bem antes da proposta. Serve para saber quem existe, o que cada um faz e quem tem porte para o que você precisa. É a etapa que evita especificar um projeto inteiro para descobrir depois que ninguém no mercado entrega daquele jeito.</w:t>
      </w:r>
    </w:p>
    <w:p>
      <w:pPr>
        <w:spacing w:after="140"/>
      </w:pPr>
      <w:r>
        <w:t xml:space="preserve"/>
      </w:r>
    </w:p>
    <w:tbl>
      <w:tblPr>
        <w:tblW w:type="dxa" w:w="9638"/>
        <w:tblBorders>
          <w:top w:val="single" w:color="F97316" w:sz="4"/>
          <w:left w:val="single" w:color="F97316" w:sz="24"/>
          <w:bottom w:val="single" w:color="F97316" w:sz="4"/>
          <w:right w:val="single" w:color="F97316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FFFFF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80"/>
            </w:pPr>
            <w:r>
              <w:rPr>
                <w:rFonts w:ascii="Consolas" w:cs="Consolas" w:eastAsia="Consolas" w:hAnsi="Consolas"/>
                <w:color w:val="F97316"/>
                <w:spacing w:val="40"/>
                <w:sz w:val="16"/>
                <w:szCs w:val="16"/>
              </w:rPr>
              <w:t xml:space="preserve">NÃO PEÇA PREÇO NUMA RFI</w:t>
            </w:r>
          </w:p>
          <w:p>
            <w:pPr>
              <w:spacing w:line="28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Preço vem na RFQ, depois da RFP. Pedir valor agora produz número sem base, porque o fornecedor ainda não sabe o escopo, e depois esse número vira âncora na negociação. Aqui você pergunta capacidade, porte e experiência.</w:t>
            </w:r>
          </w:p>
        </w:tc>
      </w:tr>
    </w:tbl>
    <w:p>
      <w:pPr>
        <w:spacing w:after="160"/>
      </w:pPr>
      <w:r>
        <w:t xml:space="preserve"/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Substitua o que está entre colchetes. Retire as perguntas da seção 4 que não importam para a sua decisão: RFI longa demais reduz a taxa de resposta, e os fornecedores melhores são justamente os que têm menos tempo livre.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CONTEÚDO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Índice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Para atualizar: clique com o botão direito sobre o índice e escolha Atualizar campo.</w:t>
      </w:r>
    </w:p>
    <w:p>
      <w:pPr>
        <w:spacing w:after="120"/>
      </w:pPr>
      <w:r>
        <w:t xml:space="preserve"/>
      </w:r>
    </w:p>
    <w:sdt>
      <w:sdtPr>
        <w:alias w:val="Sumário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1. Instrução para participação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aviso de que responder é ato formal. Deixe explícito também que responder à RFI não garante participação nas etapas seguintes, e que a RFI não gera obrigação de contratar.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Ao responder esta solicitação, o fornecedor está ciente de que sua resposta constitui apresentação formal de seus serviços e produtos.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Esta RFI tem caráter exploratório. Ela não gera obrigação de contratação, e a participação nas etapas seguintes do processo depende da avaliação das respostas recebidas.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2. Sobre a empresa solicitante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é você, em que ramo atua e qual o contexto. O fornecedor precisa disso para avaliar se tem experiência no seu setor, e resposta genérica costuma ser sinal de que ele não entendeu com quem está falando.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3. Objetivo desta RFI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você quer descobrir com esta consulta. Seja concreto sobre a necessidade sem especificar a solução: especificar solução na RFI descarta abordagens que você não conhecia, que é justamente o que uma RFI deveria revelar.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Conhecer empresas capazes de prestar serviço de desenvolvimento de software sob demanda, com equipe alocada, e entender os modelos de contratação praticados no mercado para esse tipo de serviço.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4. Informações solicitadas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miolo da RFI. Pergunte o que vai influenciar a sua decisão, e nada além. Numere para o fornecedor poder responder item a item, o que também facilita a sua comparação depois.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983"/>
        <w:gridCol w:w="6688"/>
        <w:gridCol w:w="1967"/>
      </w:tblGrid>
      <w:tr>
        <w:trPr>
          <w:tblHeader/>
        </w:trPr>
        <w:tc>
          <w:tcPr>
            <w:tcW w:type="dxa" w:w="98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Nº</w:t>
            </w:r>
          </w:p>
        </w:tc>
        <w:tc>
          <w:tcPr>
            <w:tcW w:type="dxa" w:w="668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Informação solicitada</w:t>
            </w:r>
          </w:p>
        </w:tc>
        <w:tc>
          <w:tcPr>
            <w:tcW w:type="dxa" w:w="196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Obrigatória?</w:t>
            </w:r>
          </w:p>
        </w:tc>
      </w:tr>
      <w:tr>
        <w:tc>
          <w:tcPr>
            <w:tcW w:type="dxa" w:w="98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</w:t>
            </w:r>
          </w:p>
        </w:tc>
        <w:tc>
          <w:tcPr>
            <w:tcW w:type="dxa" w:w="668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Razão social, CNPJ e tempo de operação</w:t>
            </w:r>
          </w:p>
        </w:tc>
        <w:tc>
          <w:tcPr>
            <w:tcW w:type="dxa" w:w="196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98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2</w:t>
            </w:r>
          </w:p>
        </w:tc>
        <w:tc>
          <w:tcPr>
            <w:tcW w:type="dxa" w:w="668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Faturamento dos últimos exercícios</w:t>
            </w:r>
          </w:p>
        </w:tc>
        <w:tc>
          <w:tcPr>
            <w:tcW w:type="dxa" w:w="196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98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3</w:t>
            </w:r>
          </w:p>
        </w:tc>
        <w:tc>
          <w:tcPr>
            <w:tcW w:type="dxa" w:w="668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Quantidade de colaboradores e composição das equipes</w:t>
            </w:r>
          </w:p>
        </w:tc>
        <w:tc>
          <w:tcPr>
            <w:tcW w:type="dxa" w:w="196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98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4</w:t>
            </w:r>
          </w:p>
        </w:tc>
        <w:tc>
          <w:tcPr>
            <w:tcW w:type="dxa" w:w="668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Portfólio de serviços e produtos</w:t>
            </w:r>
          </w:p>
        </w:tc>
        <w:tc>
          <w:tcPr>
            <w:tcW w:type="dxa" w:w="196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98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5</w:t>
            </w:r>
          </w:p>
        </w:tc>
        <w:tc>
          <w:tcPr>
            <w:tcW w:type="dxa" w:w="668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Casos de clientes em setor semelhante ao nosso</w:t>
            </w:r>
          </w:p>
        </w:tc>
        <w:tc>
          <w:tcPr>
            <w:tcW w:type="dxa" w:w="196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98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6</w:t>
            </w:r>
          </w:p>
        </w:tc>
        <w:tc>
          <w:tcPr>
            <w:tcW w:type="dxa" w:w="668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Certificações da empresa e das equipes</w:t>
            </w:r>
          </w:p>
        </w:tc>
        <w:tc>
          <w:tcPr>
            <w:tcW w:type="dxa" w:w="196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Não</w:t>
            </w:r>
          </w:p>
        </w:tc>
      </w:tr>
      <w:tr>
        <w:tc>
          <w:tcPr>
            <w:tcW w:type="dxa" w:w="98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7</w:t>
            </w:r>
          </w:p>
        </w:tc>
        <w:tc>
          <w:tcPr>
            <w:tcW w:type="dxa" w:w="668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Modelos de contratação praticados</w:t>
            </w:r>
          </w:p>
        </w:tc>
        <w:tc>
          <w:tcPr>
            <w:tcW w:type="dxa" w:w="196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98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8</w:t>
            </w:r>
          </w:p>
        </w:tc>
        <w:tc>
          <w:tcPr>
            <w:tcW w:type="dxa" w:w="668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Documentação fiscal e societária</w:t>
            </w:r>
          </w:p>
        </w:tc>
        <w:tc>
          <w:tcPr>
            <w:tcW w:type="dxa" w:w="196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98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9</w:t>
            </w:r>
          </w:p>
        </w:tc>
        <w:tc>
          <w:tcPr>
            <w:tcW w:type="dxa" w:w="668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Política de segurança da informação e privacidade</w:t>
            </w:r>
          </w:p>
        </w:tc>
        <w:tc>
          <w:tcPr>
            <w:tcW w:type="dxa" w:w="196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98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10</w:t>
            </w:r>
          </w:p>
        </w:tc>
        <w:tc>
          <w:tcPr>
            <w:tcW w:type="dxa" w:w="668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[pergunta específica do seu contexto]</w:t>
            </w:r>
          </w:p>
        </w:tc>
        <w:tc>
          <w:tcPr>
            <w:tcW w:type="dxa" w:w="196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[sim ou não]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5. Prazo e forma de envio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Data limite, formato e para quem enviar. Prazo sem hora gera dúvida no último dia. Diga também o limite de tamanho, se houver, para não receber apresentação de oitenta páginas.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213"/>
        <w:gridCol w:w="6425"/>
      </w:tblGrid>
      <w:tr>
        <w:trPr>
          <w:tblHeader/>
        </w:trPr>
        <w:tc>
          <w:tcPr>
            <w:tcW w:type="dxa" w:w="321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642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Definição</w:t>
            </w:r>
          </w:p>
        </w:tc>
      </w:tr>
      <w:tr>
        <w:tc>
          <w:tcPr>
            <w:tcW w:type="dxa" w:w="321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Prazo de envio</w:t>
            </w:r>
          </w:p>
        </w:tc>
        <w:tc>
          <w:tcPr>
            <w:tcW w:type="dxa" w:w="642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[dd/mm/aaaa, até hh:mm]</w:t>
            </w:r>
          </w:p>
        </w:tc>
      </w:tr>
      <w:tr>
        <w:tc>
          <w:tcPr>
            <w:tcW w:type="dxa" w:w="321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Enviar para</w:t>
            </w:r>
          </w:p>
        </w:tc>
        <w:tc>
          <w:tcPr>
            <w:tcW w:type="dxa" w:w="642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 ou portal]</w:t>
            </w:r>
          </w:p>
        </w:tc>
      </w:tr>
      <w:tr>
        <w:tc>
          <w:tcPr>
            <w:tcW w:type="dxa" w:w="321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Formato</w:t>
            </w:r>
          </w:p>
        </w:tc>
        <w:tc>
          <w:tcPr>
            <w:tcW w:type="dxa" w:w="642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[PDF, limite de páginas]</w:t>
            </w:r>
          </w:p>
        </w:tc>
      </w:tr>
      <w:tr>
        <w:tc>
          <w:tcPr>
            <w:tcW w:type="dxa" w:w="321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Identificação</w:t>
            </w:r>
          </w:p>
        </w:tc>
        <w:tc>
          <w:tcPr>
            <w:tcW w:type="dxa" w:w="642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[assunto padrão do e-mail]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6. Esclarecimentos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 quem tirar dúvida e até quando. Defina um canal único: dúvida respondida por duas pessoas diferentes gera resposta diferente, e isso desqualifica o processo.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7. Confidencialidade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compromisso das duas partes sobre a informação trocada. Se a sua empresa tem termo próprio, referencie e anexe em vez de reescrever aqui.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As informações contidas nesta solicitação são de uso exclusivo do processo de seleção e não devem ser repassadas a terceiros. O mesmo compromisso se aplica às informações enviadas pelo fornecedor, que serão utilizadas apenas para avaliação.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8. O que acontece depois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próximas etapas e quando o fornecedor terá retorno. Isso é cortesia e também interesse próprio: fornecedor que não sabe o próximo passo responde pior, ou simplesmente não responde.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As respostas serão avaliadas até [data]. Os fornecedores selecionados receberão uma RFP com a especificação detalhada do escopo. Todos os participantes receberão retorno, independentemente do resultado.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9. Anexos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Documentos citados ao longo deste arquivo. Cite o nome e onde ele está, e não anexe cópia: cópia anexada envelhece separada do original.</w:t>
      </w:r>
    </w:p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10. Histórico de versões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Toda alteração depois da aprovação entra aqui. É o registro que responde, meses depois, por que o documento mudou.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205"/>
        <w:gridCol w:w="1721"/>
        <w:gridCol w:w="4475"/>
        <w:gridCol w:w="2237"/>
      </w:tblGrid>
      <w:tr>
        <w:trPr>
          <w:tblHeader/>
        </w:trPr>
        <w:tc>
          <w:tcPr>
            <w:tcW w:type="dxa" w:w="120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Versão</w:t>
            </w:r>
          </w:p>
        </w:tc>
        <w:tc>
          <w:tcPr>
            <w:tcW w:type="dxa" w:w="17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type="dxa" w:w="447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mudou</w:t>
            </w:r>
          </w:p>
        </w:tc>
        <w:tc>
          <w:tcPr>
            <w:tcW w:type="dxa" w:w="22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alterou</w:t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 inicial</w:t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400"/>
      </w:pPr>
      <w:r>
        <w:t xml:space="preserve"/>
      </w:r>
    </w:p>
    <w:p>
      <w:pPr>
        <w:pBdr>
          <w:bottom w:val="single" w:color="F97316" w:sz="24" w:space="1"/>
        </w:pBdr>
        <w:spacing w:after="240" w:before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Modelo da Biblioteca de raphaelfontes.com.br. Livre para usar e adaptar.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6"/>
      </w:pBdr>
      <w:jc w:val="left"/>
    </w:pPr>
    <w:r>
      <w:rPr>
        <w:rFonts w:ascii="Consolas" w:cs="Consolas" w:eastAsia="Consolas" w:hAnsi="Consolas"/>
        <w:color w:val="94A3B8"/>
        <w:sz w:val="16"/>
        <w:szCs w:val="16"/>
      </w:rPr>
      <w:t xml:space="preserve">RFI  ·  raphaelfontes.com.br/biblioteca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7556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RFI</dc:title>
  <dc:creator>Raphael Fontes</dc:creator>
  <dc:description>Modelo de Request for Information para consulta ao mercado de fornecedores.</dc:description>
  <cp:lastModifiedBy>Un-named</cp:lastModifiedBy>
  <cp:revision>1</cp:revision>
  <dcterms:created xsi:type="dcterms:W3CDTF">2026-09-11T17:13:52.865Z</dcterms:created>
  <dcterms:modified xsi:type="dcterms:W3CDTF">2026-09-11T17:13:52.866Z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