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single" w:color="0F172A" w:sz="4"/>
          <w:left w:val="single" w:color="0F172A" w:sz="4"/>
          <w:bottom w:val="single" w:color="0F172A" w:sz="4"/>
          <w:right w:val="single" w:color="0F172A" w:sz="4"/>
          <w:insideH w:val="none"/>
          <w:insideV w:val="none"/>
        </w:tblBorders>
      </w:tblPr>
      <w:tblGrid>
        <w:gridCol w:w="9638"/>
      </w:tblGrid>
      <w:tr>
        <w:tc>
          <w:tcPr>
            <w:tcW w:type="dxa" w:w="9638"/>
            <w:shd w:fill="0F172A" w:color="auto" w:val="clear"/>
            <w:tcMar>
              <w:top w:type="dxa" w:w="560"/>
              <w:left w:type="dxa" w:w="400"/>
              <w:bottom w:type="dxa" w:w="560"/>
              <w:right w:type="dxa" w:w="400"/>
            </w:tcMar>
          </w:tcPr>
          <w:p>
            <w:pPr>
              <w:spacing w:after="160"/>
            </w:pPr>
            <w:r>
              <w:rPr>
                <w:rFonts w:ascii="Consolas" w:cs="Consolas" w:eastAsia="Consolas" w:hAnsi="Consolas"/>
                <w:color w:val="F97316"/>
                <w:spacing w:val="60"/>
                <w:sz w:val="17"/>
                <w:szCs w:val="17"/>
              </w:rPr>
              <w:t xml:space="preserve">MODELO · CONTRATAÇÃO DE FORNECEDOR</w:t>
            </w:r>
          </w:p>
          <w:p>
            <w:pPr>
              <w:spacing w:after="12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52"/>
                <w:szCs w:val="52"/>
              </w:rPr>
              <w:t xml:space="preserve">RFQ</w:t>
            </w:r>
          </w:p>
          <w:p>
            <w:r>
              <w:rPr>
                <w:rFonts w:ascii="Calibri" w:cs="Calibri" w:eastAsia="Calibri" w:hAnsi="Calibri"/>
                <w:color w:val="94A3B8"/>
                <w:sz w:val="24"/>
                <w:szCs w:val="24"/>
              </w:rPr>
              <w:t xml:space="preserve">Request for Quotation. A cotação, na última etapa, com a composição do preço aberta.</w:t>
            </w:r>
          </w:p>
        </w:tc>
      </w:tr>
    </w:tbl>
    <w:p>
      <w:pPr>
        <w:spacing w:after="400"/>
      </w:pPr>
      <w:r>
        <w:t xml:space="preserve"/>
      </w:r>
    </w:p>
    <w:tbl>
      <w:tblPr>
        <w:tblW w:type="dxa" w:w="9638"/>
        <w:tblBorders>
          <w:top w:val="single" w:color="E2E8F0" w:sz="4"/>
          <w:left w:val="single" w:color="E2E8F0" w:sz="4"/>
          <w:bottom w:val="single" w:color="E2E8F0" w:sz="4"/>
          <w:right w:val="single" w:color="E2E8F0" w:sz="4"/>
          <w:insideH w:val="single" w:color="E2E8F0" w:sz="4"/>
          <w:insideV w:val="single" w:color="E2E8F0" w:sz="4"/>
        </w:tblBorders>
      </w:tblPr>
      <w:tblGrid>
        <w:gridCol w:w="3012"/>
        <w:gridCol w:w="6626"/>
      </w:tblGrid>
      <w:tr>
        <w:trPr>
          <w:tblHeader/>
        </w:trPr>
        <w:tc>
          <w:tcPr>
            <w:tcW w:type="dxa" w:w="3012"/>
            <w:shd w:fill="0F172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Campo</w:t>
            </w:r>
          </w:p>
        </w:tc>
        <w:tc>
          <w:tcPr>
            <w:tcW w:type="dxa" w:w="6626"/>
            <w:shd w:fill="0F172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Preencher</w:t>
            </w:r>
          </w:p>
        </w:tc>
      </w:tr>
      <w:tr>
        <w:tc>
          <w:tcPr>
            <w:tcW w:type="dxa" w:w="3012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Projeto</w:t>
            </w:r>
          </w:p>
        </w:tc>
        <w:tc>
          <w:tcPr>
            <w:tcW w:type="dxa" w:w="6626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[nome do projeto]</w:t>
            </w:r>
          </w:p>
        </w:tc>
      </w:tr>
      <w:tr>
        <w:tc>
          <w:tcPr>
            <w:tcW w:type="dxa" w:w="3012"/>
            <w:shd w:fill="F5F7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Elaborado por</w:t>
            </w:r>
          </w:p>
        </w:tc>
        <w:tc>
          <w:tcPr>
            <w:tcW w:type="dxa" w:w="6626"/>
            <w:shd w:fill="F5F7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[nome e área]</w:t>
            </w:r>
          </w:p>
        </w:tc>
      </w:tr>
      <w:tr>
        <w:tc>
          <w:tcPr>
            <w:tcW w:type="dxa" w:w="3012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Aprovado por</w:t>
            </w:r>
          </w:p>
        </w:tc>
        <w:tc>
          <w:tcPr>
            <w:tcW w:type="dxa" w:w="6626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[nome e área]</w:t>
            </w:r>
          </w:p>
        </w:tc>
      </w:tr>
      <w:tr>
        <w:tc>
          <w:tcPr>
            <w:tcW w:type="dxa" w:w="3012"/>
            <w:shd w:fill="F5F7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Versão</w:t>
            </w:r>
          </w:p>
        </w:tc>
        <w:tc>
          <w:tcPr>
            <w:tcW w:type="dxa" w:w="6626"/>
            <w:shd w:fill="F5F7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1.0</w:t>
            </w:r>
          </w:p>
        </w:tc>
      </w:tr>
      <w:tr>
        <w:tc>
          <w:tcPr>
            <w:tcW w:type="dxa" w:w="3012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Data</w:t>
            </w:r>
          </w:p>
        </w:tc>
        <w:tc>
          <w:tcPr>
            <w:tcW w:type="dxa" w:w="6626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[dd/mm/aaaa]</w:t>
            </w:r>
          </w:p>
        </w:tc>
      </w:tr>
    </w:tbl>
    <w:p>
      <w:pPr>
        <w:spacing w:after="300"/>
      </w:pPr>
      <w:r>
        <w:t xml:space="preserve"/>
      </w:r>
    </w:p>
    <w:p>
      <w:r>
        <w:rPr>
          <w:rFonts w:ascii="Calibri" w:cs="Calibri" w:eastAsia="Calibri" w:hAnsi="Calibri"/>
          <w:i/>
          <w:iCs/>
          <w:color w:val="94A3B8"/>
          <w:sz w:val="18"/>
          <w:szCs w:val="18"/>
        </w:rPr>
        <w:t xml:space="preserve">Modelo gratuito. Adapte à sua realidade: retire o que não se aplica e acrescente o que faltar.</w:t>
      </w:r>
    </w:p>
    <w:p>
      <w:pPr>
        <w:spacing w:before="60"/>
      </w:pPr>
      <w:r>
        <w:rPr>
          <w:rFonts w:ascii="Consolas" w:cs="Consolas" w:eastAsia="Consolas" w:hAnsi="Consolas"/>
          <w:color w:val="F97316"/>
          <w:sz w:val="18"/>
          <w:szCs w:val="18"/>
        </w:rPr>
        <w:t xml:space="preserve">raphaelfontes.com.br/biblioteca</w:t>
      </w:r>
    </w:p>
    <w:p>
      <w:pPr>
        <w:pageBreakBefore/>
      </w:pPr>
    </w:p>
    <w:p>
      <w:pPr>
        <w:spacing w:after="80"/>
      </w:pPr>
      <w:r>
        <w:rPr>
          <w:rFonts w:ascii="Consolas" w:cs="Consolas" w:eastAsia="Consolas" w:hAnsi="Consolas"/>
          <w:color w:val="F97316"/>
          <w:spacing w:val="40"/>
          <w:sz w:val="16"/>
          <w:szCs w:val="16"/>
        </w:rPr>
        <w:t xml:space="preserve">ANTES DE COMEÇAR</w:t>
      </w:r>
    </w:p>
    <w:p>
      <w:pPr>
        <w:pStyle w:val="Heading1"/>
        <w:spacing w:after="160" w:before="360"/>
      </w:pPr>
      <w:r>
        <w:rPr>
          <w:rFonts w:ascii="Calibri" w:cs="Calibri" w:eastAsia="Calibri" w:hAnsi="Calibri"/>
          <w:b/>
          <w:bCs/>
          <w:color w:val="0F172A"/>
          <w:sz w:val="30"/>
          <w:szCs w:val="30"/>
        </w:rPr>
        <w:t xml:space="preserve">Como usar este modelo</w:t>
      </w:r>
    </w:p>
    <w:p>
      <w:pPr>
        <w:spacing w:after="140" w:line="30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475569"/>
          <w:sz w:val="22"/>
          <w:szCs w:val="22"/>
        </w:rPr>
        <w:t xml:space="preserve">A RFQ é a solicitação de orçamento, e é a última etapa do processo de aquisição. Ela vem depois de identificar os fornecedores potenciais, na RFI, e de filtrar as propostas técnicas, na RFP.</w:t>
      </w:r>
    </w:p>
    <w:p>
      <w:pPr>
        <w:spacing w:after="140" w:line="30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475569"/>
          <w:sz w:val="22"/>
          <w:szCs w:val="22"/>
        </w:rPr>
        <w:t xml:space="preserve">Nessa altura o escopo já está definido e o que resta é o preço. Por isso a RFQ é curta: ela não reabre discussão de escopo, ela pede valor para algo já especificado.</w:t>
      </w:r>
    </w:p>
    <w:p>
      <w:pPr>
        <w:spacing w:after="140"/>
      </w:pPr>
      <w:r>
        <w:t xml:space="preserve"/>
      </w:r>
    </w:p>
    <w:tbl>
      <w:tblPr>
        <w:tblW w:type="dxa" w:w="9638"/>
        <w:tblBorders>
          <w:top w:val="single" w:color="F97316" w:sz="4"/>
          <w:left w:val="single" w:color="F97316" w:sz="24"/>
          <w:bottom w:val="single" w:color="F97316" w:sz="4"/>
          <w:right w:val="single" w:color="F97316" w:sz="4"/>
          <w:insideH w:val="none"/>
          <w:insideV w:val="none"/>
        </w:tblBorders>
      </w:tblPr>
      <w:tblGrid>
        <w:gridCol w:w="9638"/>
      </w:tblGrid>
      <w:tr>
        <w:tc>
          <w:tcPr>
            <w:tcW w:type="dxa" w:w="9638"/>
            <w:shd w:fill="FFFFFF" w:color="auto" w:val="clear"/>
            <w:tcMar>
              <w:top w:type="dxa" w:w="180"/>
              <w:left w:type="dxa" w:w="220"/>
              <w:bottom w:type="dxa" w:w="180"/>
              <w:right w:type="dxa" w:w="220"/>
            </w:tcMar>
          </w:tcPr>
          <w:p>
            <w:pPr>
              <w:spacing w:after="80"/>
            </w:pPr>
            <w:r>
              <w:rPr>
                <w:rFonts w:ascii="Consolas" w:cs="Consolas" w:eastAsia="Consolas" w:hAnsi="Consolas"/>
                <w:color w:val="F97316"/>
                <w:spacing w:val="40"/>
                <w:sz w:val="16"/>
                <w:szCs w:val="16"/>
              </w:rPr>
              <w:t xml:space="preserve">EXIJA A COMPOSIÇÃO, NÃO SÓ O VALOR</w:t>
            </w:r>
          </w:p>
          <w:p>
            <w:pPr>
              <w:spacing w:line="280"/>
            </w:pPr>
            <w:r>
              <w:rPr>
                <w:rFonts w:ascii="Calibri" w:cs="Calibri" w:eastAsia="Calibri" w:hAnsi="Calibri"/>
                <w:color w:val="0F172A"/>
                <w:sz w:val="21"/>
                <w:szCs w:val="21"/>
              </w:rPr>
              <w:t xml:space="preserve">Preço fechado não dá para comparar. Peça a abertura: quantidade, valor unitário, impostos, taxas e câmbio, se houver. Sem isso, duas propostas com o mesmo total podem ser coisas completamente diferentes, e a diferença só aparece na primeira fatura.</w:t>
            </w:r>
          </w:p>
        </w:tc>
      </w:tr>
    </w:tbl>
    <w:p>
      <w:pPr>
        <w:spacing w:after="160"/>
      </w:pPr>
      <w:r>
        <w:t xml:space="preserve"/>
      </w:r>
    </w:p>
    <w:p>
      <w:pPr>
        <w:pBdr>
          <w:left w:val="single" w:color="F97316" w:sz="18" w:space="8"/>
        </w:pBdr>
        <w:spacing w:after="120" w:line="280"/>
        <w:ind w:left="120"/>
      </w:pPr>
      <w:r>
        <w:rPr>
          <w:rFonts w:ascii="Calibri" w:cs="Calibri" w:eastAsia="Calibri" w:hAnsi="Calibri"/>
          <w:i/>
          <w:iCs/>
          <w:color w:val="64748B"/>
          <w:sz w:val="20"/>
          <w:szCs w:val="20"/>
        </w:rPr>
        <w:t xml:space="preserve">Se o seu processo junta RFP e RFQ num documento só, o que é comum em compra menor, use as seções 3 a 6 deste modelo dentro da sua RFP e descarte o resto.</w:t>
      </w:r>
    </w:p>
    <w:p>
      <w:pPr>
        <w:pageBreakBefore/>
      </w:pPr>
    </w:p>
    <w:p>
      <w:pPr>
        <w:spacing w:after="80"/>
      </w:pPr>
      <w:r>
        <w:rPr>
          <w:rFonts w:ascii="Consolas" w:cs="Consolas" w:eastAsia="Consolas" w:hAnsi="Consolas"/>
          <w:color w:val="F97316"/>
          <w:spacing w:val="40"/>
          <w:sz w:val="16"/>
          <w:szCs w:val="16"/>
        </w:rPr>
        <w:t xml:space="preserve">CONTEÚDO</w:t>
      </w:r>
    </w:p>
    <w:p>
      <w:pPr>
        <w:pStyle w:val="Heading1"/>
        <w:spacing w:after="160" w:before="360"/>
      </w:pPr>
      <w:r>
        <w:rPr>
          <w:rFonts w:ascii="Calibri" w:cs="Calibri" w:eastAsia="Calibri" w:hAnsi="Calibri"/>
          <w:b/>
          <w:bCs/>
          <w:color w:val="0F172A"/>
          <w:sz w:val="30"/>
          <w:szCs w:val="30"/>
        </w:rPr>
        <w:t xml:space="preserve">Índice</w:t>
      </w:r>
    </w:p>
    <w:p>
      <w:pPr>
        <w:spacing w:after="140" w:line="300"/>
      </w:pPr>
      <w:r>
        <w:rPr>
          <w:rFonts w:ascii="Calibri" w:cs="Calibri" w:eastAsia="Calibri" w:hAnsi="Calibri"/>
          <w:b w:val="false"/>
          <w:bCs w:val="false"/>
          <w:i/>
          <w:iCs/>
          <w:color w:val="475569"/>
          <w:sz w:val="22"/>
          <w:szCs w:val="22"/>
        </w:rPr>
        <w:t xml:space="preserve">Para atualizar: clique com o botão direito sobre o índice e escolha Atualizar campo.</w:t>
      </w:r>
    </w:p>
    <w:p>
      <w:pPr>
        <w:spacing w:after="120"/>
      </w:pPr>
      <w:r>
        <w:t xml:space="preserve"/>
      </w:r>
    </w:p>
    <w:sdt>
      <w:sdtPr>
        <w:alias w:val="Sumário"/>
      </w:sdtPr>
      <w:sdtContent>
        <w:p>
          <w:r>
            <w:fldChar w:fldCharType="begin" w:dirty="true"/>
            <w:instrText xml:space="preserve">TOC \h \o "1-2"</w:instrText>
            <w:fldChar w:fldCharType="separate"/>
          </w:r>
        </w:p>
        <w:p>
          <w:r>
            <w:fldChar w:fldCharType="end"/>
          </w:r>
        </w:p>
      </w:sdtContent>
    </w:sdt>
    <w:p>
      <w:pPr>
        <w:pageBreakBefore/>
      </w:pPr>
    </w:p>
    <w:p>
      <w:pPr>
        <w:pStyle w:val="Heading1"/>
        <w:spacing w:after="160" w:before="360"/>
      </w:pPr>
      <w:r>
        <w:rPr>
          <w:rFonts w:ascii="Calibri" w:cs="Calibri" w:eastAsia="Calibri" w:hAnsi="Calibri"/>
          <w:b/>
          <w:bCs/>
          <w:color w:val="0F172A"/>
          <w:sz w:val="30"/>
          <w:szCs w:val="30"/>
        </w:rPr>
        <w:t xml:space="preserve">1. Objeto da cotação</w:t>
      </w:r>
    </w:p>
    <w:p>
      <w:pPr>
        <w:pBdr>
          <w:left w:val="single" w:color="F97316" w:sz="18" w:space="8"/>
        </w:pBdr>
        <w:spacing w:after="120" w:line="280"/>
        <w:ind w:left="120"/>
      </w:pPr>
      <w:r>
        <w:rPr>
          <w:rFonts w:ascii="Calibri" w:cs="Calibri" w:eastAsia="Calibri" w:hAnsi="Calibri"/>
          <w:i/>
          <w:iCs/>
          <w:color w:val="64748B"/>
          <w:sz w:val="20"/>
          <w:szCs w:val="20"/>
        </w:rPr>
        <w:t xml:space="preserve">O que está sendo cotado, em uma frase, com referência ao documento que especificou o escopo. Citar a RFP e a versão evita a cotação de uma coisa diferente da que foi especificada.</w:t>
      </w:r>
    </w:p>
    <w:p>
      <w:pPr>
        <w:spacing w:after="80"/>
      </w:pPr>
      <w:r>
        <w:t xml:space="preserve"/>
      </w:r>
    </w:p>
    <w:tbl>
      <w:tblPr>
        <w:tblW w:type="dxa" w:w="9638"/>
        <w:tblBorders>
          <w:top w:val="single" w:color="E2E8F0" w:sz="4"/>
          <w:left w:val="single" w:color="E2E8F0" w:sz="4"/>
          <w:bottom w:val="single" w:color="E2E8F0" w:sz="4"/>
          <w:right w:val="single" w:color="E2E8F0" w:sz="4"/>
          <w:insideH w:val="none"/>
          <w:insideV w:val="none"/>
        </w:tblBorders>
      </w:tblPr>
      <w:tblGrid>
        <w:gridCol w:w="9638"/>
      </w:tblGrid>
      <w:tr>
        <w:tc>
          <w:tcPr>
            <w:tcW w:type="dxa" w:w="9638"/>
            <w:shd w:fill="F5F7FA" w:color="auto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spacing w:after="60"/>
            </w:pPr>
            <w:r>
              <w:rPr>
                <w:rFonts w:ascii="Consolas" w:cs="Consolas" w:eastAsia="Consolas" w:hAnsi="Consolas"/>
                <w:color w:val="94A3B8"/>
                <w:spacing w:val="40"/>
                <w:sz w:val="15"/>
                <w:szCs w:val="15"/>
              </w:rPr>
              <w:t xml:space="preserve">EXEMPLO</w:t>
            </w:r>
          </w:p>
          <w:p>
            <w:pPr>
              <w:spacing w:after="0" w:line="280"/>
            </w:pPr>
            <w:r>
              <w:rPr>
                <w:rFonts w:ascii="Calibri" w:cs="Calibri" w:eastAsia="Calibri" w:hAnsi="Calibri"/>
                <w:color w:val="64748B"/>
                <w:sz w:val="20"/>
                <w:szCs w:val="20"/>
              </w:rPr>
              <w:t xml:space="preserve">Cotação para prestação de serviço de desenvolvimento de software sob demanda, conforme escopo definido na RFP [identificação], versão [x], anexa a este documento.</w:t>
            </w:r>
          </w:p>
        </w:tc>
      </w:tr>
    </w:tbl>
    <w:p>
      <w:pPr>
        <w:spacing w:after="280"/>
      </w:pPr>
      <w:r>
        <w:t xml:space="preserve"/>
      </w:r>
    </w:p>
    <w:p>
      <w:pPr>
        <w:pStyle w:val="Heading1"/>
        <w:spacing w:after="160" w:before="360"/>
      </w:pPr>
      <w:r>
        <w:rPr>
          <w:rFonts w:ascii="Calibri" w:cs="Calibri" w:eastAsia="Calibri" w:hAnsi="Calibri"/>
          <w:b/>
          <w:bCs/>
          <w:color w:val="0F172A"/>
          <w:sz w:val="30"/>
          <w:szCs w:val="30"/>
        </w:rPr>
        <w:t xml:space="preserve">2. Itens a cotar</w:t>
      </w:r>
    </w:p>
    <w:p>
      <w:pPr>
        <w:pBdr>
          <w:left w:val="single" w:color="F97316" w:sz="18" w:space="8"/>
        </w:pBdr>
        <w:spacing w:after="120" w:line="280"/>
        <w:ind w:left="120"/>
      </w:pPr>
      <w:r>
        <w:rPr>
          <w:rFonts w:ascii="Calibri" w:cs="Calibri" w:eastAsia="Calibri" w:hAnsi="Calibri"/>
          <w:i/>
          <w:iCs/>
          <w:color w:val="64748B"/>
          <w:sz w:val="20"/>
          <w:szCs w:val="20"/>
        </w:rPr>
        <w:t xml:space="preserve">A lista do que precisa ter preço, com unidade e quantidade estimada. Definir a unidade é o que torna as propostas comparáveis: hora, ponto de função, mês de alocação e entrega fechada produzem números que não se comparam entre si.</w:t>
      </w:r>
    </w:p>
    <w:p>
      <w:pPr>
        <w:spacing w:after="80"/>
      </w:pPr>
      <w:r>
        <w:t xml:space="preserve"/>
      </w:r>
    </w:p>
    <w:tbl>
      <w:tblPr>
        <w:tblW w:type="dxa" w:w="9638"/>
        <w:tblBorders>
          <w:top w:val="single" w:color="E2E8F0" w:sz="4"/>
          <w:left w:val="single" w:color="E2E8F0" w:sz="4"/>
          <w:bottom w:val="single" w:color="E2E8F0" w:sz="4"/>
          <w:right w:val="single" w:color="E2E8F0" w:sz="4"/>
          <w:insideH w:val="single" w:color="E2E8F0" w:sz="4"/>
          <w:insideV w:val="single" w:color="E2E8F0" w:sz="4"/>
        </w:tblBorders>
      </w:tblPr>
      <w:tblGrid>
        <w:gridCol w:w="876"/>
        <w:gridCol w:w="4381"/>
        <w:gridCol w:w="2103"/>
        <w:gridCol w:w="2278"/>
      </w:tblGrid>
      <w:tr>
        <w:trPr>
          <w:tblHeader/>
        </w:trPr>
        <w:tc>
          <w:tcPr>
            <w:tcW w:type="dxa" w:w="876"/>
            <w:shd w:fill="0F172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Nº</w:t>
            </w:r>
          </w:p>
        </w:tc>
        <w:tc>
          <w:tcPr>
            <w:tcW w:type="dxa" w:w="4381"/>
            <w:shd w:fill="0F172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Item</w:t>
            </w:r>
          </w:p>
        </w:tc>
        <w:tc>
          <w:tcPr>
            <w:tcW w:type="dxa" w:w="2103"/>
            <w:shd w:fill="0F172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Unidade</w:t>
            </w:r>
          </w:p>
        </w:tc>
        <w:tc>
          <w:tcPr>
            <w:tcW w:type="dxa" w:w="2278"/>
            <w:shd w:fill="0F172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Quantidade estimada</w:t>
            </w:r>
          </w:p>
        </w:tc>
      </w:tr>
      <w:tr>
        <w:tc>
          <w:tcPr>
            <w:tcW w:type="dxa" w:w="876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1</w:t>
            </w:r>
          </w:p>
        </w:tc>
        <w:tc>
          <w:tcPr>
            <w:tcW w:type="dxa" w:w="4381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[o que será cotado]</w:t>
            </w:r>
          </w:p>
        </w:tc>
        <w:tc>
          <w:tcPr>
            <w:tcW w:type="dxa" w:w="2103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[hora, mês, entrega]</w:t>
            </w:r>
          </w:p>
        </w:tc>
        <w:tc>
          <w:tcPr>
            <w:tcW w:type="dxa" w:w="2278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[quantidade]</w:t>
            </w:r>
          </w:p>
        </w:tc>
      </w:tr>
      <w:tr>
        <w:tc>
          <w:tcPr>
            <w:tcW w:type="dxa" w:w="876"/>
            <w:shd w:fill="F5F7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2</w:t>
            </w:r>
          </w:p>
        </w:tc>
        <w:tc>
          <w:tcPr>
            <w:tcW w:type="dxa" w:w="4381"/>
            <w:shd w:fill="F5F7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[o que será cotado]</w:t>
            </w:r>
          </w:p>
        </w:tc>
        <w:tc>
          <w:tcPr>
            <w:tcW w:type="dxa" w:w="2103"/>
            <w:shd w:fill="F5F7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[hora, mês, entrega]</w:t>
            </w:r>
          </w:p>
        </w:tc>
        <w:tc>
          <w:tcPr>
            <w:tcW w:type="dxa" w:w="2278"/>
            <w:shd w:fill="F5F7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[quantidade]</w:t>
            </w:r>
          </w:p>
        </w:tc>
      </w:tr>
      <w:tr>
        <w:tc>
          <w:tcPr>
            <w:tcW w:type="dxa" w:w="876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3</w:t>
            </w:r>
          </w:p>
        </w:tc>
        <w:tc>
          <w:tcPr>
            <w:tcW w:type="dxa" w:w="4381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[o que será cotado]</w:t>
            </w:r>
          </w:p>
        </w:tc>
        <w:tc>
          <w:tcPr>
            <w:tcW w:type="dxa" w:w="2103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[hora, mês, entrega]</w:t>
            </w:r>
          </w:p>
        </w:tc>
        <w:tc>
          <w:tcPr>
            <w:tcW w:type="dxa" w:w="2278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[quantidade]</w:t>
            </w:r>
          </w:p>
        </w:tc>
      </w:tr>
    </w:tbl>
    <w:p>
      <w:pPr>
        <w:spacing w:after="120"/>
      </w:pPr>
      <w:r>
        <w:t xml:space="preserve"/>
      </w:r>
    </w:p>
    <w:p>
      <w:pPr>
        <w:spacing w:after="140" w:line="300"/>
      </w:pPr>
      <w:r>
        <w:rPr>
          <w:rFonts w:ascii="Calibri" w:cs="Calibri" w:eastAsia="Calibri" w:hAnsi="Calibri"/>
          <w:b w:val="false"/>
          <w:bCs w:val="false"/>
          <w:i/>
          <w:iCs/>
          <w:color w:val="475569"/>
          <w:sz w:val="22"/>
          <w:szCs w:val="22"/>
        </w:rPr>
        <w:t xml:space="preserve">Se a quantidade é estimativa e não compromisso, diga isso aqui com clareza.</w:t>
      </w:r>
    </w:p>
    <w:p>
      <w:pPr>
        <w:pageBreakBefore/>
      </w:pPr>
    </w:p>
    <w:p>
      <w:pPr>
        <w:pStyle w:val="Heading1"/>
        <w:spacing w:after="160" w:before="360"/>
      </w:pPr>
      <w:r>
        <w:rPr>
          <w:rFonts w:ascii="Calibri" w:cs="Calibri" w:eastAsia="Calibri" w:hAnsi="Calibri"/>
          <w:b/>
          <w:bCs/>
          <w:color w:val="0F172A"/>
          <w:sz w:val="30"/>
          <w:szCs w:val="30"/>
        </w:rPr>
        <w:t xml:space="preserve">3. Composição obrigatória do preço</w:t>
      </w:r>
    </w:p>
    <w:p>
      <w:pPr>
        <w:pBdr>
          <w:left w:val="single" w:color="F97316" w:sz="18" w:space="8"/>
        </w:pBdr>
        <w:spacing w:after="120" w:line="280"/>
        <w:ind w:left="120"/>
      </w:pPr>
      <w:r>
        <w:rPr>
          <w:rFonts w:ascii="Calibri" w:cs="Calibri" w:eastAsia="Calibri" w:hAnsi="Calibri"/>
          <w:i/>
          <w:iCs/>
          <w:color w:val="64748B"/>
          <w:sz w:val="20"/>
          <w:szCs w:val="20"/>
        </w:rPr>
        <w:t xml:space="preserve">Como o fornecedor deve abrir o valor. Esta tabela é o que permite comparar propostas de verdade e o que revela o que está embutido. Deixe claro que proposta sem a composição será considerada incompleta.</w:t>
      </w:r>
    </w:p>
    <w:p>
      <w:pPr>
        <w:spacing w:after="80"/>
      </w:pPr>
      <w:r>
        <w:t xml:space="preserve"/>
      </w:r>
    </w:p>
    <w:tbl>
      <w:tblPr>
        <w:tblW w:type="dxa" w:w="9638"/>
        <w:tblBorders>
          <w:top w:val="single" w:color="E2E8F0" w:sz="4"/>
          <w:left w:val="single" w:color="E2E8F0" w:sz="4"/>
          <w:bottom w:val="single" w:color="E2E8F0" w:sz="4"/>
          <w:right w:val="single" w:color="E2E8F0" w:sz="4"/>
          <w:insideH w:val="single" w:color="E2E8F0" w:sz="4"/>
          <w:insideV w:val="single" w:color="E2E8F0" w:sz="4"/>
        </w:tblBorders>
      </w:tblPr>
      <w:tblGrid>
        <w:gridCol w:w="4190"/>
        <w:gridCol w:w="2095"/>
        <w:gridCol w:w="3353"/>
      </w:tblGrid>
      <w:tr>
        <w:trPr>
          <w:tblHeader/>
        </w:trPr>
        <w:tc>
          <w:tcPr>
            <w:tcW w:type="dxa" w:w="4190"/>
            <w:shd w:fill="0F172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Componente do preço</w:t>
            </w:r>
          </w:p>
        </w:tc>
        <w:tc>
          <w:tcPr>
            <w:tcW w:type="dxa" w:w="2095"/>
            <w:shd w:fill="0F172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Valor</w:t>
            </w:r>
          </w:p>
        </w:tc>
        <w:tc>
          <w:tcPr>
            <w:tcW w:type="dxa" w:w="3353"/>
            <w:shd w:fill="0F172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Observação</w:t>
            </w:r>
          </w:p>
        </w:tc>
      </w:tr>
      <w:tr>
        <w:tc>
          <w:tcPr>
            <w:tcW w:type="dxa" w:w="4190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Valor do serviço ou produto</w:t>
            </w:r>
          </w:p>
        </w:tc>
        <w:tc>
          <w:tcPr>
            <w:tcW w:type="dxa" w:w="2095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[valor]</w:t>
            </w:r>
          </w:p>
        </w:tc>
        <w:tc>
          <w:tcPr>
            <w:tcW w:type="dxa" w:w="3353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[base de cálculo]</w:t>
            </w:r>
          </w:p>
        </w:tc>
      </w:tr>
      <w:tr>
        <w:tc>
          <w:tcPr>
            <w:tcW w:type="dxa" w:w="4190"/>
            <w:shd w:fill="F5F7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Impostos, discriminados</w:t>
            </w:r>
          </w:p>
        </w:tc>
        <w:tc>
          <w:tcPr>
            <w:tcW w:type="dxa" w:w="2095"/>
            <w:shd w:fill="F5F7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[valor]</w:t>
            </w:r>
          </w:p>
        </w:tc>
        <w:tc>
          <w:tcPr>
            <w:tcW w:type="dxa" w:w="3353"/>
            <w:shd w:fill="F5F7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[quais e alíquota]</w:t>
            </w:r>
          </w:p>
        </w:tc>
      </w:tr>
      <w:tr>
        <w:tc>
          <w:tcPr>
            <w:tcW w:type="dxa" w:w="4190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Taxas e encargos</w:t>
            </w:r>
          </w:p>
        </w:tc>
        <w:tc>
          <w:tcPr>
            <w:tcW w:type="dxa" w:w="2095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[valor]</w:t>
            </w:r>
          </w:p>
        </w:tc>
        <w:tc>
          <w:tcPr>
            <w:tcW w:type="dxa" w:w="3353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[quais]</w:t>
            </w:r>
          </w:p>
        </w:tc>
      </w:tr>
      <w:tr>
        <w:tc>
          <w:tcPr>
            <w:tcW w:type="dxa" w:w="4190"/>
            <w:shd w:fill="F5F7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Despesas repassadas</w:t>
            </w:r>
          </w:p>
        </w:tc>
        <w:tc>
          <w:tcPr>
            <w:tcW w:type="dxa" w:w="2095"/>
            <w:shd w:fill="F5F7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[valor]</w:t>
            </w:r>
          </w:p>
        </w:tc>
        <w:tc>
          <w:tcPr>
            <w:tcW w:type="dxa" w:w="3353"/>
            <w:shd w:fill="F5F7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[viagem, licença, terceiro]</w:t>
            </w:r>
          </w:p>
        </w:tc>
      </w:tr>
      <w:tr>
        <w:tc>
          <w:tcPr>
            <w:tcW w:type="dxa" w:w="4190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Variação cambial, se aplicável</w:t>
            </w:r>
          </w:p>
        </w:tc>
        <w:tc>
          <w:tcPr>
            <w:tcW w:type="dxa" w:w="2095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[valor]</w:t>
            </w:r>
          </w:p>
        </w:tc>
        <w:tc>
          <w:tcPr>
            <w:tcW w:type="dxa" w:w="3353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[moeda e data de referência]</w:t>
            </w:r>
          </w:p>
        </w:tc>
      </w:tr>
      <w:tr>
        <w:tc>
          <w:tcPr>
            <w:tcW w:type="dxa" w:w="4190"/>
            <w:shd w:fill="F5F7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Total</w:t>
            </w:r>
          </w:p>
        </w:tc>
        <w:tc>
          <w:tcPr>
            <w:tcW w:type="dxa" w:w="2095"/>
            <w:shd w:fill="F5F7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[valor]</w:t>
            </w:r>
          </w:p>
        </w:tc>
        <w:tc>
          <w:tcPr>
            <w:tcW w:type="dxa" w:w="3353"/>
            <w:shd w:fill="F5F7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/>
            </w:r>
          </w:p>
        </w:tc>
      </w:tr>
    </w:tbl>
    <w:p>
      <w:pPr>
        <w:spacing w:after="240"/>
      </w:pPr>
      <w:r>
        <w:t xml:space="preserve"/>
      </w:r>
    </w:p>
    <w:p>
      <w:pPr>
        <w:pStyle w:val="Heading1"/>
        <w:spacing w:after="160" w:before="360"/>
      </w:pPr>
      <w:r>
        <w:rPr>
          <w:rFonts w:ascii="Calibri" w:cs="Calibri" w:eastAsia="Calibri" w:hAnsi="Calibri"/>
          <w:b/>
          <w:bCs/>
          <w:color w:val="0F172A"/>
          <w:sz w:val="30"/>
          <w:szCs w:val="30"/>
        </w:rPr>
        <w:t xml:space="preserve">4. Condições comerciais</w:t>
      </w:r>
    </w:p>
    <w:p>
      <w:pPr>
        <w:pBdr>
          <w:left w:val="single" w:color="F97316" w:sz="18" w:space="8"/>
        </w:pBdr>
        <w:spacing w:after="120" w:line="280"/>
        <w:ind w:left="120"/>
      </w:pPr>
      <w:r>
        <w:rPr>
          <w:rFonts w:ascii="Calibri" w:cs="Calibri" w:eastAsia="Calibri" w:hAnsi="Calibri"/>
          <w:i/>
          <w:iCs/>
          <w:color w:val="64748B"/>
          <w:sz w:val="20"/>
          <w:szCs w:val="20"/>
        </w:rPr>
        <w:t xml:space="preserve">As condições que o fornecedor deve informar junto do preço. Reajuste é o campo mais esquecido e o que mais dói em contrato longo.</w:t>
      </w:r>
    </w:p>
    <w:p>
      <w:pPr>
        <w:spacing w:after="80"/>
      </w:pPr>
      <w:r>
        <w:t xml:space="preserve"/>
      </w:r>
    </w:p>
    <w:tbl>
      <w:tblPr>
        <w:tblW w:type="dxa" w:w="9638"/>
        <w:tblBorders>
          <w:top w:val="single" w:color="E2E8F0" w:sz="4"/>
          <w:left w:val="single" w:color="E2E8F0" w:sz="4"/>
          <w:bottom w:val="single" w:color="E2E8F0" w:sz="4"/>
          <w:right w:val="single" w:color="E2E8F0" w:sz="4"/>
          <w:insideH w:val="single" w:color="E2E8F0" w:sz="4"/>
          <w:insideV w:val="single" w:color="E2E8F0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dxa" w:w="4819"/>
            <w:shd w:fill="0F172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Item</w:t>
            </w:r>
          </w:p>
        </w:tc>
        <w:tc>
          <w:tcPr>
            <w:tcW w:type="dxa" w:w="4819"/>
            <w:shd w:fill="0F172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A informar pelo fornecedor</w:t>
            </w:r>
          </w:p>
        </w:tc>
      </w:tr>
      <w:tr>
        <w:tc>
          <w:tcPr>
            <w:tcW w:type="dxa" w:w="4819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Condição de pagamento</w:t>
            </w:r>
          </w:p>
        </w:tc>
        <w:tc>
          <w:tcPr>
            <w:tcW w:type="dxa" w:w="4819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[prazo e forma]</w:t>
            </w:r>
          </w:p>
        </w:tc>
      </w:tr>
      <w:tr>
        <w:tc>
          <w:tcPr>
            <w:tcW w:type="dxa" w:w="4819"/>
            <w:shd w:fill="F5F7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Prazo de faturamento</w:t>
            </w:r>
          </w:p>
        </w:tc>
        <w:tc>
          <w:tcPr>
            <w:tcW w:type="dxa" w:w="4819"/>
            <w:shd w:fill="F5F7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[periodicidade]</w:t>
            </w:r>
          </w:p>
        </w:tc>
      </w:tr>
      <w:tr>
        <w:tc>
          <w:tcPr>
            <w:tcW w:type="dxa" w:w="4819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Índice e periodicidade de reajuste</w:t>
            </w:r>
          </w:p>
        </w:tc>
        <w:tc>
          <w:tcPr>
            <w:tcW w:type="dxa" w:w="4819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[índice e prazo]</w:t>
            </w:r>
          </w:p>
        </w:tc>
      </w:tr>
      <w:tr>
        <w:tc>
          <w:tcPr>
            <w:tcW w:type="dxa" w:w="4819"/>
            <w:shd w:fill="F5F7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Validade da proposta</w:t>
            </w:r>
          </w:p>
        </w:tc>
        <w:tc>
          <w:tcPr>
            <w:tcW w:type="dxa" w:w="4819"/>
            <w:shd w:fill="F5F7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[dias]</w:t>
            </w:r>
          </w:p>
        </w:tc>
      </w:tr>
      <w:tr>
        <w:tc>
          <w:tcPr>
            <w:tcW w:type="dxa" w:w="4819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Prazo de mobilização da equipe</w:t>
            </w:r>
          </w:p>
        </w:tc>
        <w:tc>
          <w:tcPr>
            <w:tcW w:type="dxa" w:w="4819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[dias após assinatura]</w:t>
            </w:r>
          </w:p>
        </w:tc>
      </w:tr>
      <w:tr>
        <w:tc>
          <w:tcPr>
            <w:tcW w:type="dxa" w:w="4819"/>
            <w:shd w:fill="F5F7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Garantia</w:t>
            </w:r>
          </w:p>
        </w:tc>
        <w:tc>
          <w:tcPr>
            <w:tcW w:type="dxa" w:w="4819"/>
            <w:shd w:fill="F5F7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[prazo e cobertura]</w:t>
            </w:r>
          </w:p>
        </w:tc>
      </w:tr>
    </w:tbl>
    <w:p>
      <w:pPr>
        <w:pageBreakBefore/>
      </w:pPr>
    </w:p>
    <w:p>
      <w:pPr>
        <w:pStyle w:val="Heading1"/>
        <w:spacing w:after="160" w:before="360"/>
      </w:pPr>
      <w:r>
        <w:rPr>
          <w:rFonts w:ascii="Calibri" w:cs="Calibri" w:eastAsia="Calibri" w:hAnsi="Calibri"/>
          <w:b/>
          <w:bCs/>
          <w:color w:val="0F172A"/>
          <w:sz w:val="30"/>
          <w:szCs w:val="30"/>
        </w:rPr>
        <w:t xml:space="preserve">5. Critério de julgamento</w:t>
      </w:r>
    </w:p>
    <w:p>
      <w:pPr>
        <w:pBdr>
          <w:left w:val="single" w:color="F97316" w:sz="18" w:space="8"/>
        </w:pBdr>
        <w:spacing w:after="120" w:line="280"/>
        <w:ind w:left="120"/>
      </w:pPr>
      <w:r>
        <w:rPr>
          <w:rFonts w:ascii="Calibri" w:cs="Calibri" w:eastAsia="Calibri" w:hAnsi="Calibri"/>
          <w:i/>
          <w:iCs/>
          <w:color w:val="64748B"/>
          <w:sz w:val="20"/>
          <w:szCs w:val="20"/>
        </w:rPr>
        <w:t xml:space="preserve">Como o preço será avaliado, e se é só preço. Se a decisão considera técnica e preço juntos, diga o peso de cada um. Se é menor preço puro entre quem já passou na etapa técnica, diga isso também: o fornecedor precifica diferente quando sabe.</w:t>
      </w:r>
    </w:p>
    <w:p>
      <w:pPr>
        <w:spacing w:after="80"/>
      </w:pPr>
      <w:r>
        <w:t xml:space="preserve"/>
      </w:r>
    </w:p>
    <w:tbl>
      <w:tblPr>
        <w:tblW w:type="dxa" w:w="9638"/>
        <w:tblBorders>
          <w:top w:val="single" w:color="E2E8F0" w:sz="4"/>
          <w:left w:val="single" w:color="E2E8F0" w:sz="4"/>
          <w:bottom w:val="single" w:color="E2E8F0" w:sz="4"/>
          <w:right w:val="single" w:color="E2E8F0" w:sz="4"/>
          <w:insideH w:val="none"/>
          <w:insideV w:val="none"/>
        </w:tblBorders>
      </w:tblPr>
      <w:tblGrid>
        <w:gridCol w:w="9638"/>
      </w:tblGrid>
      <w:tr>
        <w:tc>
          <w:tcPr>
            <w:tcW w:type="dxa" w:w="9638"/>
            <w:shd w:fill="F5F7FA" w:color="auto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spacing w:after="60"/>
            </w:pPr>
            <w:r>
              <w:rPr>
                <w:rFonts w:ascii="Consolas" w:cs="Consolas" w:eastAsia="Consolas" w:hAnsi="Consolas"/>
                <w:color w:val="94A3B8"/>
                <w:spacing w:val="40"/>
                <w:sz w:val="15"/>
                <w:szCs w:val="15"/>
              </w:rPr>
              <w:t xml:space="preserve">EXEMPLO</w:t>
            </w:r>
          </w:p>
          <w:p>
            <w:pPr>
              <w:spacing w:after="0" w:line="280"/>
            </w:pPr>
            <w:r>
              <w:rPr>
                <w:rFonts w:ascii="Calibri" w:cs="Calibri" w:eastAsia="Calibri" w:hAnsi="Calibri"/>
                <w:color w:val="64748B"/>
                <w:sz w:val="20"/>
                <w:szCs w:val="20"/>
              </w:rPr>
              <w:t xml:space="preserve">Entre os fornecedores aprovados na etapa técnica, será selecionada a proposta de menor valor total, considerando a composição completa e as condições comerciais informadas.</w:t>
            </w:r>
          </w:p>
        </w:tc>
      </w:tr>
    </w:tbl>
    <w:p>
      <w:pPr>
        <w:spacing w:after="280"/>
      </w:pPr>
      <w:r>
        <w:t xml:space="preserve"/>
      </w:r>
    </w:p>
    <w:p>
      <w:pPr>
        <w:pStyle w:val="Heading1"/>
        <w:spacing w:after="160" w:before="360"/>
      </w:pPr>
      <w:r>
        <w:rPr>
          <w:rFonts w:ascii="Calibri" w:cs="Calibri" w:eastAsia="Calibri" w:hAnsi="Calibri"/>
          <w:b/>
          <w:bCs/>
          <w:color w:val="0F172A"/>
          <w:sz w:val="30"/>
          <w:szCs w:val="30"/>
        </w:rPr>
        <w:t xml:space="preserve">6. Prazo e forma de envio</w:t>
      </w:r>
    </w:p>
    <w:p>
      <w:pPr>
        <w:pBdr>
          <w:left w:val="single" w:color="F97316" w:sz="18" w:space="8"/>
        </w:pBdr>
        <w:spacing w:after="120" w:line="280"/>
        <w:ind w:left="120"/>
      </w:pPr>
      <w:r>
        <w:rPr>
          <w:rFonts w:ascii="Calibri" w:cs="Calibri" w:eastAsia="Calibri" w:hAnsi="Calibri"/>
          <w:i/>
          <w:iCs/>
          <w:color w:val="64748B"/>
          <w:sz w:val="20"/>
          <w:szCs w:val="20"/>
        </w:rPr>
        <w:t xml:space="preserve">Data limite com hora, formato e destinatário. Diga também se haverá rodada de negociação depois: processo em que o fornecedor espera negociar recebe primeira proposta inflada de propósito.</w:t>
      </w:r>
    </w:p>
    <w:p>
      <w:pPr>
        <w:spacing w:after="80"/>
      </w:pPr>
      <w:r>
        <w:t xml:space="preserve"/>
      </w:r>
    </w:p>
    <w:tbl>
      <w:tblPr>
        <w:tblW w:type="dxa" w:w="9638"/>
        <w:tblBorders>
          <w:top w:val="single" w:color="E2E8F0" w:sz="4"/>
          <w:left w:val="single" w:color="E2E8F0" w:sz="4"/>
          <w:bottom w:val="single" w:color="E2E8F0" w:sz="4"/>
          <w:right w:val="single" w:color="E2E8F0" w:sz="4"/>
          <w:insideH w:val="single" w:color="E2E8F0" w:sz="4"/>
          <w:insideV w:val="single" w:color="E2E8F0" w:sz="4"/>
        </w:tblBorders>
      </w:tblPr>
      <w:tblGrid>
        <w:gridCol w:w="4016"/>
        <w:gridCol w:w="5622"/>
      </w:tblGrid>
      <w:tr>
        <w:trPr>
          <w:tblHeader/>
        </w:trPr>
        <w:tc>
          <w:tcPr>
            <w:tcW w:type="dxa" w:w="4016"/>
            <w:shd w:fill="0F172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Item</w:t>
            </w:r>
          </w:p>
        </w:tc>
        <w:tc>
          <w:tcPr>
            <w:tcW w:type="dxa" w:w="5622"/>
            <w:shd w:fill="0F172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Definição</w:t>
            </w:r>
          </w:p>
        </w:tc>
      </w:tr>
      <w:tr>
        <w:tc>
          <w:tcPr>
            <w:tcW w:type="dxa" w:w="4016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Prazo de envio</w:t>
            </w:r>
          </w:p>
        </w:tc>
        <w:tc>
          <w:tcPr>
            <w:tcW w:type="dxa" w:w="5622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[dd/mm/aaaa, até hh:mm]</w:t>
            </w:r>
          </w:p>
        </w:tc>
      </w:tr>
      <w:tr>
        <w:tc>
          <w:tcPr>
            <w:tcW w:type="dxa" w:w="4016"/>
            <w:shd w:fill="F5F7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Enviar para</w:t>
            </w:r>
          </w:p>
        </w:tc>
        <w:tc>
          <w:tcPr>
            <w:tcW w:type="dxa" w:w="5622"/>
            <w:shd w:fill="F5F7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[e-mail ou portal]</w:t>
            </w:r>
          </w:p>
        </w:tc>
      </w:tr>
      <w:tr>
        <w:tc>
          <w:tcPr>
            <w:tcW w:type="dxa" w:w="4016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Formato</w:t>
            </w:r>
          </w:p>
        </w:tc>
        <w:tc>
          <w:tcPr>
            <w:tcW w:type="dxa" w:w="5622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[PDF assinado, planilha]</w:t>
            </w:r>
          </w:p>
        </w:tc>
      </w:tr>
      <w:tr>
        <w:tc>
          <w:tcPr>
            <w:tcW w:type="dxa" w:w="4016"/>
            <w:shd w:fill="F5F7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Haverá negociação posterior</w:t>
            </w:r>
          </w:p>
        </w:tc>
        <w:tc>
          <w:tcPr>
            <w:tcW w:type="dxa" w:w="5622"/>
            <w:shd w:fill="F5F7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[sim ou não]</w:t>
            </w:r>
          </w:p>
        </w:tc>
      </w:tr>
      <w:tr>
        <w:tc>
          <w:tcPr>
            <w:tcW w:type="dxa" w:w="4016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Canal para dúvidas</w:t>
            </w:r>
          </w:p>
        </w:tc>
        <w:tc>
          <w:tcPr>
            <w:tcW w:type="dxa" w:w="5622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[contato único]</w:t>
            </w:r>
          </w:p>
        </w:tc>
      </w:tr>
    </w:tbl>
    <w:p>
      <w:pPr>
        <w:pageBreakBefore/>
      </w:pPr>
    </w:p>
    <w:p>
      <w:pPr>
        <w:pStyle w:val="Heading1"/>
        <w:spacing w:after="160" w:before="360"/>
      </w:pPr>
      <w:r>
        <w:rPr>
          <w:rFonts w:ascii="Calibri" w:cs="Calibri" w:eastAsia="Calibri" w:hAnsi="Calibri"/>
          <w:b/>
          <w:bCs/>
          <w:color w:val="0F172A"/>
          <w:sz w:val="30"/>
          <w:szCs w:val="30"/>
        </w:rPr>
        <w:t xml:space="preserve">7. Confidencialidade</w:t>
      </w:r>
    </w:p>
    <w:p>
      <w:pPr>
        <w:pBdr>
          <w:left w:val="single" w:color="F97316" w:sz="18" w:space="8"/>
        </w:pBdr>
        <w:spacing w:after="120" w:line="280"/>
        <w:ind w:left="120"/>
      </w:pPr>
      <w:r>
        <w:rPr>
          <w:rFonts w:ascii="Calibri" w:cs="Calibri" w:eastAsia="Calibri" w:hAnsi="Calibri"/>
          <w:i/>
          <w:iCs/>
          <w:color w:val="64748B"/>
          <w:sz w:val="20"/>
          <w:szCs w:val="20"/>
        </w:rPr>
        <w:t xml:space="preserve">Compromisso sobre a informação comercial trocada, nos dois sentidos. Valor proposto por um fornecedor não deve ser usado como referência de negociação com outro: além de antiético, desmonta a confiança do processo.</w:t>
      </w:r>
    </w:p>
    <w:p>
      <w:pPr>
        <w:spacing w:after="240"/>
      </w:pPr>
      <w:r>
        <w:t xml:space="preserve"/>
      </w:r>
    </w:p>
    <w:p>
      <w:pPr>
        <w:pStyle w:val="Heading1"/>
        <w:spacing w:after="160" w:before="360"/>
      </w:pPr>
      <w:r>
        <w:rPr>
          <w:rFonts w:ascii="Calibri" w:cs="Calibri" w:eastAsia="Calibri" w:hAnsi="Calibri"/>
          <w:b/>
          <w:bCs/>
          <w:color w:val="0F172A"/>
          <w:sz w:val="30"/>
          <w:szCs w:val="30"/>
        </w:rPr>
        <w:t xml:space="preserve">8. Anexos</w:t>
      </w:r>
    </w:p>
    <w:p>
      <w:pPr>
        <w:pBdr>
          <w:left w:val="single" w:color="F97316" w:sz="18" w:space="8"/>
        </w:pBdr>
        <w:spacing w:after="120" w:line="280"/>
        <w:ind w:left="120"/>
      </w:pPr>
      <w:r>
        <w:rPr>
          <w:rFonts w:ascii="Calibri" w:cs="Calibri" w:eastAsia="Calibri" w:hAnsi="Calibri"/>
          <w:i/>
          <w:iCs/>
          <w:color w:val="64748B"/>
          <w:sz w:val="20"/>
          <w:szCs w:val="20"/>
        </w:rPr>
        <w:t xml:space="preserve">A RFP e sua versão, a especificação de escopo e a minuta de contrato, se já existir.</w:t>
      </w:r>
    </w:p>
    <w:p>
      <w:pPr>
        <w:spacing w:after="240"/>
      </w:pPr>
      <w:r>
        <w:t xml:space="preserve"/>
      </w:r>
    </w:p>
    <w:p>
      <w:pPr>
        <w:pageBreakBefore/>
      </w:pPr>
    </w:p>
    <w:p>
      <w:pPr>
        <w:pStyle w:val="Heading1"/>
        <w:spacing w:after="160" w:before="360"/>
      </w:pPr>
      <w:r>
        <w:rPr>
          <w:rFonts w:ascii="Calibri" w:cs="Calibri" w:eastAsia="Calibri" w:hAnsi="Calibri"/>
          <w:b/>
          <w:bCs/>
          <w:color w:val="0F172A"/>
          <w:sz w:val="30"/>
          <w:szCs w:val="30"/>
        </w:rPr>
        <w:t xml:space="preserve">9. Histórico de versões</w:t>
      </w:r>
    </w:p>
    <w:p>
      <w:pPr>
        <w:pBdr>
          <w:left w:val="single" w:color="F97316" w:sz="18" w:space="8"/>
        </w:pBdr>
        <w:spacing w:after="120" w:line="280"/>
        <w:ind w:left="120"/>
      </w:pPr>
      <w:r>
        <w:rPr>
          <w:rFonts w:ascii="Calibri" w:cs="Calibri" w:eastAsia="Calibri" w:hAnsi="Calibri"/>
          <w:i/>
          <w:iCs/>
          <w:color w:val="64748B"/>
          <w:sz w:val="20"/>
          <w:szCs w:val="20"/>
        </w:rPr>
        <w:t xml:space="preserve">Toda alteração depois da aprovação entra aqui. É o registro que responde, meses depois, por que o documento mudou.</w:t>
      </w:r>
    </w:p>
    <w:p>
      <w:pPr>
        <w:spacing w:after="80"/>
      </w:pPr>
      <w:r>
        <w:t xml:space="preserve"/>
      </w:r>
    </w:p>
    <w:tbl>
      <w:tblPr>
        <w:tblW w:type="dxa" w:w="9638"/>
        <w:tblBorders>
          <w:top w:val="single" w:color="E2E8F0" w:sz="4"/>
          <w:left w:val="single" w:color="E2E8F0" w:sz="4"/>
          <w:bottom w:val="single" w:color="E2E8F0" w:sz="4"/>
          <w:right w:val="single" w:color="E2E8F0" w:sz="4"/>
          <w:insideH w:val="single" w:color="E2E8F0" w:sz="4"/>
          <w:insideV w:val="single" w:color="E2E8F0" w:sz="4"/>
        </w:tblBorders>
      </w:tblPr>
      <w:tblGrid>
        <w:gridCol w:w="1205"/>
        <w:gridCol w:w="1721"/>
        <w:gridCol w:w="4475"/>
        <w:gridCol w:w="2237"/>
      </w:tblGrid>
      <w:tr>
        <w:trPr>
          <w:tblHeader/>
        </w:trPr>
        <w:tc>
          <w:tcPr>
            <w:tcW w:type="dxa" w:w="1205"/>
            <w:shd w:fill="0F172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Versão</w:t>
            </w:r>
          </w:p>
        </w:tc>
        <w:tc>
          <w:tcPr>
            <w:tcW w:type="dxa" w:w="1721"/>
            <w:shd w:fill="0F172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Data</w:t>
            </w:r>
          </w:p>
        </w:tc>
        <w:tc>
          <w:tcPr>
            <w:tcW w:type="dxa" w:w="4475"/>
            <w:shd w:fill="0F172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O que mudou</w:t>
            </w:r>
          </w:p>
        </w:tc>
        <w:tc>
          <w:tcPr>
            <w:tcW w:type="dxa" w:w="2237"/>
            <w:shd w:fill="0F172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Quem alterou</w:t>
            </w:r>
          </w:p>
        </w:tc>
      </w:tr>
      <w:tr>
        <w:tc>
          <w:tcPr>
            <w:tcW w:type="dxa" w:w="1205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1.0</w:t>
            </w:r>
          </w:p>
        </w:tc>
        <w:tc>
          <w:tcPr>
            <w:tcW w:type="dxa" w:w="1721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[dd/mm/aaaa]</w:t>
            </w:r>
          </w:p>
        </w:tc>
        <w:tc>
          <w:tcPr>
            <w:tcW w:type="dxa" w:w="4475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Versão inicial</w:t>
            </w:r>
          </w:p>
        </w:tc>
        <w:tc>
          <w:tcPr>
            <w:tcW w:type="dxa" w:w="2237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[nome]</w:t>
            </w:r>
          </w:p>
        </w:tc>
      </w:tr>
      <w:tr>
        <w:tc>
          <w:tcPr>
            <w:tcW w:type="dxa" w:w="1205"/>
            <w:shd w:fill="F5F7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/>
            </w:r>
          </w:p>
        </w:tc>
        <w:tc>
          <w:tcPr>
            <w:tcW w:type="dxa" w:w="1721"/>
            <w:shd w:fill="F5F7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/>
            </w:r>
          </w:p>
        </w:tc>
        <w:tc>
          <w:tcPr>
            <w:tcW w:type="dxa" w:w="4475"/>
            <w:shd w:fill="F5F7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/>
            </w:r>
          </w:p>
        </w:tc>
        <w:tc>
          <w:tcPr>
            <w:tcW w:type="dxa" w:w="2237"/>
            <w:shd w:fill="F5F7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205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/>
            </w:r>
          </w:p>
        </w:tc>
        <w:tc>
          <w:tcPr>
            <w:tcW w:type="dxa" w:w="1721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/>
            </w:r>
          </w:p>
        </w:tc>
        <w:tc>
          <w:tcPr>
            <w:tcW w:type="dxa" w:w="4475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/>
            </w:r>
          </w:p>
        </w:tc>
        <w:tc>
          <w:tcPr>
            <w:tcW w:type="dxa" w:w="2237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/>
            </w:r>
          </w:p>
        </w:tc>
      </w:tr>
    </w:tbl>
    <w:p>
      <w:pPr>
        <w:spacing w:after="400"/>
      </w:pPr>
      <w:r>
        <w:t xml:space="preserve"/>
      </w:r>
    </w:p>
    <w:p>
      <w:pPr>
        <w:pBdr>
          <w:bottom w:val="single" w:color="F97316" w:sz="24" w:space="1"/>
        </w:pBdr>
        <w:spacing w:after="240" w:before="120"/>
      </w:pPr>
      <w:r>
        <w:t xml:space="preserve"/>
      </w:r>
    </w:p>
    <w:p>
      <w:pPr>
        <w:spacing w:after="140" w:line="300"/>
      </w:pPr>
      <w:r>
        <w:rPr>
          <w:rFonts w:ascii="Calibri" w:cs="Calibri" w:eastAsia="Calibri" w:hAnsi="Calibri"/>
          <w:b w:val="false"/>
          <w:bCs w:val="false"/>
          <w:i/>
          <w:iCs/>
          <w:color w:val="475569"/>
          <w:sz w:val="22"/>
          <w:szCs w:val="22"/>
        </w:rPr>
        <w:t xml:space="preserve">Modelo da Biblioteca de raphaelfontes.com.br. Livre para usar e adaptar.</w:t>
      </w:r>
    </w:p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2E8F0" w:sz="4" w:space="6"/>
      </w:pBdr>
      <w:jc w:val="left"/>
    </w:pPr>
    <w:r>
      <w:rPr>
        <w:rFonts w:ascii="Consolas" w:cs="Consolas" w:eastAsia="Consolas" w:hAnsi="Consolas"/>
        <w:color w:val="94A3B8"/>
        <w:sz w:val="16"/>
        <w:szCs w:val="16"/>
      </w:rPr>
      <w:t xml:space="preserve">RFQ  ·  raphaelfontes.com.br/biblioteca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475569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rFonts w:ascii="Calibri" w:cs="Calibri" w:eastAsia="Calibri" w:hAnsi="Calibri"/>
      <w:b/>
      <w:bCs/>
      <w:color w:val="0F172A"/>
      <w:sz w:val="30"/>
      <w:szCs w:val="30"/>
    </w:rPr>
  </w:style>
  <w:style w:type="paragraph" w:styleId="Heading2">
    <w:name w:val="Heading 2"/>
    <w:basedOn w:val="Normal"/>
    <w:next w:val="Normal"/>
    <w:qFormat/>
    <w:rPr>
      <w:rFonts w:ascii="Calibri" w:cs="Calibri" w:eastAsia="Calibri" w:hAnsi="Calibri"/>
      <w:b/>
      <w:bCs/>
      <w:color w:val="0F172A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RFQ</dc:title>
  <dc:creator>Raphael Fontes</dc:creator>
  <dc:description>Modelo de Request for Quotation, com composição de preço aberta para comparação.</dc:description>
  <cp:lastModifiedBy>Un-named</cp:lastModifiedBy>
  <cp:revision>1</cp:revision>
  <dcterms:created xsi:type="dcterms:W3CDTF">2026-09-11T17:13:52.910Z</dcterms:created>
  <dcterms:modified xsi:type="dcterms:W3CDTF">2026-09-11T17:13:52.910Z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